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6324EE">
        <w:rPr>
          <w:rFonts w:ascii="Rubik" w:eastAsia="Times New Roman" w:hAnsi="Rubik" w:cs="Rubik"/>
          <w:b/>
          <w:noProof/>
          <w:sz w:val="32"/>
          <w:szCs w:val="32"/>
          <w:lang w:eastAsia="es-MX"/>
        </w:rPr>
        <w:t>MUNICIPAL</w:t>
      </w:r>
      <w:r w:rsidR="00A82CF4">
        <w:rPr>
          <w:rFonts w:ascii="Rubik" w:eastAsia="Times New Roman" w:hAnsi="Rubik" w:cs="Rubik"/>
          <w:b/>
          <w:noProof/>
          <w:sz w:val="32"/>
          <w:szCs w:val="32"/>
          <w:lang w:eastAsia="es-MX"/>
        </w:rPr>
        <w:t xml:space="preserve"> </w:t>
      </w:r>
      <w:r w:rsidRPr="000F3D64">
        <w:rPr>
          <w:rFonts w:ascii="Rubik" w:eastAsia="Times New Roman" w:hAnsi="Rubik" w:cs="Rubik"/>
          <w:b/>
          <w:noProof/>
          <w:sz w:val="32"/>
          <w:szCs w:val="32"/>
          <w:lang w:eastAsia="es-MX"/>
        </w:rPr>
        <w:t>SIN CONCURRENCIA</w:t>
      </w:r>
    </w:p>
    <w:p w:rsidR="00F804E0" w:rsidRPr="000F3D64" w:rsidRDefault="00F804E0" w:rsidP="00F804E0">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006324EE" w:rsidRPr="005B3B94">
        <w:rPr>
          <w:rFonts w:ascii="Rubik" w:eastAsia="Times New Roman" w:hAnsi="Rubik" w:cs="Rubik"/>
          <w:b/>
          <w:noProof/>
          <w:sz w:val="32"/>
          <w:szCs w:val="32"/>
          <w:lang w:eastAsia="es-MX"/>
        </w:rPr>
        <w:t>LPM</w:t>
      </w:r>
      <w:r w:rsidRPr="005B3B94">
        <w:rPr>
          <w:rFonts w:ascii="Rubik" w:eastAsia="Times New Roman" w:hAnsi="Rubik" w:cs="Rubik"/>
          <w:b/>
          <w:noProof/>
          <w:sz w:val="32"/>
          <w:szCs w:val="32"/>
          <w:lang w:eastAsia="es-MX"/>
        </w:rPr>
        <w:t>SC/</w:t>
      </w:r>
      <w:r w:rsidR="00A82CF4" w:rsidRPr="005B3B94">
        <w:rPr>
          <w:rFonts w:ascii="Rubik" w:eastAsia="Times New Roman" w:hAnsi="Rubik" w:cs="Rubik"/>
          <w:b/>
          <w:noProof/>
          <w:sz w:val="32"/>
          <w:szCs w:val="32"/>
          <w:lang w:eastAsia="es-MX"/>
        </w:rPr>
        <w:t>1</w:t>
      </w:r>
      <w:r w:rsidR="00F13606" w:rsidRPr="005B3B94">
        <w:rPr>
          <w:rFonts w:ascii="Rubik" w:eastAsia="Times New Roman" w:hAnsi="Rubik" w:cs="Rubik"/>
          <w:b/>
          <w:noProof/>
          <w:sz w:val="32"/>
          <w:szCs w:val="32"/>
          <w:lang w:eastAsia="es-MX"/>
        </w:rPr>
        <w:t>3</w:t>
      </w:r>
      <w:r w:rsidRPr="005B3B94">
        <w:rPr>
          <w:rFonts w:ascii="Rubik" w:eastAsia="Times New Roman" w:hAnsi="Rubik" w:cs="Rubik"/>
          <w:b/>
          <w:noProof/>
          <w:sz w:val="32"/>
          <w:szCs w:val="32"/>
          <w:lang w:eastAsia="es-MX"/>
        </w:rPr>
        <w:t>/2</w:t>
      </w:r>
      <w:r w:rsidR="006324EE" w:rsidRPr="005B3B94">
        <w:rPr>
          <w:rFonts w:ascii="Rubik" w:eastAsia="Times New Roman" w:hAnsi="Rubik" w:cs="Rubik"/>
          <w:b/>
          <w:noProof/>
          <w:sz w:val="32"/>
          <w:szCs w:val="32"/>
          <w:lang w:eastAsia="es-MX"/>
        </w:rPr>
        <w:t>3</w:t>
      </w:r>
      <w:r w:rsidR="00E27CF5" w:rsidRPr="005B3B94">
        <w:rPr>
          <w:rFonts w:ascii="Rubik" w:eastAsia="Times New Roman" w:hAnsi="Rubik" w:cs="Rubik"/>
          <w:b/>
          <w:noProof/>
          <w:sz w:val="32"/>
          <w:szCs w:val="32"/>
          <w:lang w:eastAsia="es-MX"/>
        </w:rPr>
        <w:t>775/</w:t>
      </w:r>
      <w:r w:rsidRPr="005B3B94">
        <w:rPr>
          <w:rFonts w:ascii="Rubik" w:eastAsia="Times New Roman" w:hAnsi="Rubik" w:cs="Rubik"/>
          <w:b/>
          <w:noProof/>
          <w:sz w:val="32"/>
          <w:szCs w:val="32"/>
          <w:lang w:eastAsia="es-MX"/>
        </w:rPr>
        <w:t>2026 ADQUISICIÓN DE:</w:t>
      </w:r>
      <w:r w:rsidR="00F13606" w:rsidRPr="005B3B94">
        <w:rPr>
          <w:rFonts w:ascii="Rubik" w:eastAsia="Times New Roman" w:hAnsi="Rubik" w:cs="Rubik"/>
          <w:b/>
          <w:noProof/>
          <w:sz w:val="32"/>
          <w:szCs w:val="32"/>
          <w:lang w:eastAsia="es-MX"/>
        </w:rPr>
        <w:t xml:space="preserve"> </w:t>
      </w:r>
      <w:r w:rsidR="00701980" w:rsidRPr="005B3B94">
        <w:rPr>
          <w:rFonts w:ascii="Rubik" w:eastAsia="Times New Roman" w:hAnsi="Rubik" w:cs="Rubik"/>
          <w:b/>
          <w:noProof/>
          <w:sz w:val="32"/>
          <w:szCs w:val="32"/>
          <w:lang w:eastAsia="es-MX"/>
        </w:rPr>
        <w:t xml:space="preserve">SERVICIO DE AUDITORIA Y ELABORACION DEL </w:t>
      </w:r>
      <w:r w:rsidR="00E27CF5" w:rsidRPr="005B3B94">
        <w:rPr>
          <w:rFonts w:ascii="Rubik" w:eastAsia="Times New Roman" w:hAnsi="Rubik" w:cs="Rubik"/>
          <w:b/>
          <w:noProof/>
          <w:sz w:val="32"/>
          <w:szCs w:val="32"/>
          <w:lang w:eastAsia="es-MX"/>
        </w:rPr>
        <w:t>DICTAMEN IMSS PARA EL EJERCICIO 2025</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F804E0">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F804E0">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F804E0">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0"/>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2"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F804E0">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F804E0">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F804E0">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F804E0">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00E27CF5">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F13606" w:rsidRDefault="000A3CC5" w:rsidP="00F13606">
      <w:pPr>
        <w:numPr>
          <w:ilvl w:val="0"/>
          <w:numId w:val="19"/>
        </w:numPr>
        <w:jc w:val="both"/>
        <w:rPr>
          <w:rFonts w:ascii="Rubik" w:hAnsi="Rubik" w:cs="Rubik"/>
        </w:rPr>
      </w:pPr>
      <w:r w:rsidRPr="00212632">
        <w:rPr>
          <w:rFonts w:ascii="Rubik" w:hAnsi="Rubik" w:cs="Rubik"/>
          <w:b/>
          <w:u w:val="single"/>
        </w:rPr>
        <w:t>ANEXO</w:t>
      </w:r>
      <w:r w:rsidR="00F13606">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3"/>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F804E0">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sidR="0081142D">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Licencia Municipal de funcionamiento.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numPr>
          <w:ilvl w:val="0"/>
          <w:numId w:val="22"/>
        </w:numPr>
        <w:jc w:val="both"/>
        <w:rPr>
          <w:rFonts w:ascii="Rubik" w:hAnsi="Rubik" w:cs="Rubik"/>
        </w:rPr>
      </w:pPr>
      <w:r w:rsidRPr="000F3D64">
        <w:rPr>
          <w:rFonts w:ascii="Rubik" w:hAnsi="Rubik" w:cs="Rubik"/>
        </w:rPr>
        <w:t>Factura</w:t>
      </w:r>
    </w:p>
    <w:p w:rsidR="00F804E0" w:rsidRPr="000F3D64" w:rsidRDefault="00F804E0" w:rsidP="00F804E0">
      <w:pPr>
        <w:numPr>
          <w:ilvl w:val="0"/>
          <w:numId w:val="22"/>
        </w:numPr>
        <w:jc w:val="both"/>
        <w:rPr>
          <w:rFonts w:ascii="Rubik" w:hAnsi="Rubik" w:cs="Rubik"/>
        </w:rPr>
      </w:pPr>
      <w:r w:rsidRPr="000F3D64">
        <w:rPr>
          <w:rFonts w:ascii="Rubik" w:hAnsi="Rubik" w:cs="Rubik"/>
        </w:rPr>
        <w:t>Reportes de Trabajo.</w:t>
      </w:r>
    </w:p>
    <w:p w:rsidR="00F804E0" w:rsidRPr="000F3D64" w:rsidRDefault="00F804E0" w:rsidP="00F804E0">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F804E0">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F804E0">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F804E0" w:rsidRPr="000F3D64" w:rsidRDefault="00F804E0" w:rsidP="00F804E0">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F804E0">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F804E0" w:rsidRPr="000F3D64" w:rsidRDefault="00F804E0" w:rsidP="00F804E0">
      <w:pPr>
        <w:numPr>
          <w:ilvl w:val="0"/>
          <w:numId w:val="6"/>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F804E0" w:rsidRPr="000F3D64" w:rsidRDefault="00F804E0" w:rsidP="00F804E0">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F804E0" w:rsidRPr="000F3D64" w:rsidRDefault="00F804E0" w:rsidP="00F804E0">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F804E0">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F804E0">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F804E0">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F804E0">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F804E0">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F804E0">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F804E0">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F804E0">
      <w:pPr>
        <w:numPr>
          <w:ilvl w:val="0"/>
          <w:numId w:val="16"/>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0081142D">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7" w:name="_Hlk42261790"/>
    </w:p>
    <w:bookmarkEnd w:id="7"/>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F804E0">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81142D" w:rsidRPr="0081142D">
        <w:rPr>
          <w:rFonts w:ascii="Rubik" w:hAnsi="Rubik" w:cs="Rubik"/>
          <w:noProof/>
          <w:lang w:eastAsia="es-MX"/>
        </w:rPr>
        <w:t>01</w:t>
      </w:r>
      <w:r w:rsidRPr="000F3D64">
        <w:rPr>
          <w:rFonts w:ascii="Rubik" w:hAnsi="Rubik" w:cs="Rubik"/>
          <w:bCs/>
          <w:noProof/>
          <w:lang w:eastAsia="es-MX"/>
        </w:rPr>
        <w:t xml:space="preserve"> de </w:t>
      </w:r>
      <w:r w:rsidR="0081142D">
        <w:rPr>
          <w:rFonts w:ascii="Rubik" w:hAnsi="Rubik" w:cs="Rubik"/>
          <w:bCs/>
          <w:noProof/>
          <w:lang w:eastAsia="es-MX"/>
        </w:rPr>
        <w:t>abril</w:t>
      </w:r>
      <w:r w:rsidRPr="000F3D64">
        <w:rPr>
          <w:rFonts w:ascii="Rubik" w:hAnsi="Rubik" w:cs="Rubik"/>
          <w:bCs/>
          <w:noProof/>
          <w:lang w:eastAsia="es-MX"/>
        </w:rPr>
        <w:t xml:space="preserve"> de 2026</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6324EE">
        <w:rPr>
          <w:rFonts w:ascii="Rubik" w:hAnsi="Rubik" w:cs="Rubik"/>
        </w:rPr>
        <w:t xml:space="preserve"> MUNICIPAL</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F804E0" w:rsidRPr="000F3D64" w:rsidRDefault="00F804E0" w:rsidP="00F804E0">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6324EE">
        <w:rPr>
          <w:rFonts w:ascii="Rubik" w:hAnsi="Rubik" w:cs="Rubik"/>
        </w:rPr>
        <w:t>LPM</w:t>
      </w:r>
      <w:r w:rsidRPr="002B2415">
        <w:rPr>
          <w:rFonts w:ascii="Rubik" w:hAnsi="Rubik" w:cs="Rubik"/>
        </w:rPr>
        <w:t>SC/</w:t>
      </w:r>
      <w:r w:rsidR="00A82CF4">
        <w:rPr>
          <w:rFonts w:ascii="Rubik" w:hAnsi="Rubik" w:cs="Rubik"/>
        </w:rPr>
        <w:t>1</w:t>
      </w:r>
      <w:r w:rsidR="00F13606">
        <w:rPr>
          <w:rFonts w:ascii="Rubik" w:hAnsi="Rubik" w:cs="Rubik"/>
        </w:rPr>
        <w:t>3</w:t>
      </w:r>
      <w:r w:rsidRPr="002B2415">
        <w:rPr>
          <w:rFonts w:ascii="Rubik" w:hAnsi="Rubik" w:cs="Rubik"/>
        </w:rPr>
        <w:t>/2</w:t>
      </w:r>
      <w:r w:rsidR="006324EE">
        <w:rPr>
          <w:rFonts w:ascii="Rubik" w:hAnsi="Rubik" w:cs="Rubik"/>
        </w:rPr>
        <w:t>3</w:t>
      </w:r>
      <w:r w:rsidR="0081142D">
        <w:rPr>
          <w:rFonts w:ascii="Rubik" w:hAnsi="Rubik" w:cs="Rubik"/>
        </w:rPr>
        <w:t>775</w:t>
      </w:r>
      <w:r w:rsidRPr="002B2415">
        <w:rPr>
          <w:rFonts w:ascii="Rubik" w:hAnsi="Rubik" w:cs="Rubik"/>
        </w:rPr>
        <w:t>/2026</w:t>
      </w:r>
    </w:p>
    <w:p w:rsidR="00F804E0" w:rsidRPr="000F3D64" w:rsidRDefault="00F804E0" w:rsidP="0070198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701980" w:rsidRPr="00701980">
        <w:rPr>
          <w:rFonts w:ascii="Rubik" w:hAnsi="Rubik" w:cs="Rubik"/>
          <w:noProof/>
          <w:lang w:eastAsia="es-MX"/>
        </w:rPr>
        <w:t>SERVICIO DE AUDITORIA Y ELABORACION DEL DICTAMEN IMSS PARA EL EJERCICIO 2025</w:t>
      </w:r>
      <w:r w:rsidR="00701980">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F804E0">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701980" w:rsidRPr="00701980">
        <w:rPr>
          <w:rFonts w:ascii="Rubik" w:hAnsi="Rubik" w:cs="Rubik"/>
          <w:noProof/>
          <w:lang w:eastAsia="es-MX"/>
        </w:rPr>
        <w:t>331001</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006324EE">
        <w:rPr>
          <w:rFonts w:ascii="Rubik" w:hAnsi="Rubik" w:cs="Rubik"/>
          <w:noProof/>
          <w:lang w:eastAsia="es-MX"/>
        </w:rPr>
        <w:t xml:space="preserve"> </w:t>
      </w:r>
      <w:r w:rsidR="00701980"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701980">
        <w:rPr>
          <w:rFonts w:ascii="Rubik" w:hAnsi="Rubik" w:cs="Rubik"/>
          <w:noProof/>
          <w:lang w:eastAsia="es-MX"/>
        </w:rPr>
        <w:t>07</w:t>
      </w:r>
      <w:r w:rsidR="00A82CF4">
        <w:rPr>
          <w:rFonts w:ascii="Rubik" w:hAnsi="Rubik" w:cs="Rubik"/>
          <w:noProof/>
          <w:lang w:eastAsia="es-MX"/>
        </w:rPr>
        <w:t xml:space="preserve"> de </w:t>
      </w:r>
      <w:r w:rsidR="00701980">
        <w:rPr>
          <w:rFonts w:ascii="Rubik" w:hAnsi="Rubik" w:cs="Rubik"/>
          <w:noProof/>
          <w:lang w:eastAsia="es-MX"/>
        </w:rPr>
        <w:t>abril</w:t>
      </w:r>
      <w:r w:rsidR="00A82CF4">
        <w:rPr>
          <w:rFonts w:ascii="Rubik" w:hAnsi="Rubik" w:cs="Rubik"/>
          <w:noProof/>
          <w:lang w:eastAsia="es-MX"/>
        </w:rPr>
        <w:t xml:space="preserve"> del 2026, a las 1</w:t>
      </w:r>
      <w:r w:rsidR="00701980">
        <w:rPr>
          <w:rFonts w:ascii="Rubik" w:hAnsi="Rubik" w:cs="Rubik"/>
          <w:noProof/>
          <w:lang w:eastAsia="es-MX"/>
        </w:rPr>
        <w:t>2</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701980">
        <w:rPr>
          <w:rFonts w:ascii="Rubik" w:hAnsi="Rubik" w:cs="Rubik"/>
          <w:noProof/>
          <w:lang w:eastAsia="es-MX"/>
        </w:rPr>
        <w:t>1</w:t>
      </w:r>
      <w:r w:rsidR="00F13606">
        <w:rPr>
          <w:rFonts w:ascii="Rubik" w:hAnsi="Rubik" w:cs="Rubik"/>
          <w:noProof/>
          <w:lang w:eastAsia="es-MX"/>
        </w:rPr>
        <w:t>4</w:t>
      </w:r>
      <w:r w:rsidRPr="000F3D64">
        <w:rPr>
          <w:rFonts w:ascii="Rubik" w:hAnsi="Rubik" w:cs="Rubik"/>
          <w:bCs/>
          <w:noProof/>
          <w:lang w:eastAsia="es-MX"/>
        </w:rPr>
        <w:t xml:space="preserve"> de </w:t>
      </w:r>
      <w:r w:rsidR="00701980">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w:t>
      </w:r>
      <w:r w:rsidR="00701980">
        <w:rPr>
          <w:rFonts w:ascii="Rubik" w:hAnsi="Rubik" w:cs="Rubik"/>
          <w:noProof/>
          <w:lang w:eastAsia="es-MX"/>
        </w:rPr>
        <w:t>2</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701980">
        <w:rPr>
          <w:rFonts w:ascii="Rubik" w:hAnsi="Rubik" w:cs="Rubik"/>
          <w:bCs/>
          <w:noProof/>
          <w:lang w:eastAsia="es-MX"/>
        </w:rPr>
        <w:t xml:space="preserve"> 16</w:t>
      </w:r>
      <w:r w:rsidRPr="000F3D64">
        <w:rPr>
          <w:rFonts w:ascii="Rubik" w:hAnsi="Rubik" w:cs="Rubik"/>
          <w:bCs/>
          <w:noProof/>
          <w:lang w:eastAsia="es-MX"/>
        </w:rPr>
        <w:t xml:space="preserve"> de </w:t>
      </w:r>
      <w:r w:rsidR="00701980">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sidR="00701980">
        <w:rPr>
          <w:rFonts w:ascii="Rubik" w:hAnsi="Rubik" w:cs="Rubik"/>
          <w:noProof/>
          <w:lang w:eastAsia="es-MX"/>
        </w:rPr>
        <w:t>2</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F804E0">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00701980">
        <w:rPr>
          <w:rFonts w:ascii="Rubik" w:hAnsi="Rubik" w:cs="Rubik"/>
          <w:noProof/>
          <w:lang w:eastAsia="es-MX"/>
        </w:rPr>
        <w:t xml:space="preserve">Para este procedimiento </w:t>
      </w:r>
      <w:r w:rsidRPr="00226E37">
        <w:rPr>
          <w:rFonts w:ascii="Rubik" w:hAnsi="Rubik" w:cs="Rubik"/>
          <w:noProof/>
          <w:lang w:eastAsia="es-MX"/>
        </w:rPr>
        <w:t>s</w:t>
      </w:r>
      <w:r w:rsidR="007A14CE">
        <w:rPr>
          <w:rFonts w:ascii="Rubik" w:hAnsi="Rubik" w:cs="Rubik"/>
          <w:noProof/>
          <w:lang w:eastAsia="es-MX"/>
        </w:rPr>
        <w:t>i se considera un anticipo del 30%</w:t>
      </w:r>
      <w:r w:rsidRPr="00226E37">
        <w:rPr>
          <w:rFonts w:ascii="Rubik" w:hAnsi="Rubik" w:cs="Rubik"/>
          <w:noProof/>
          <w:lang w:eastAsia="es-MX"/>
        </w:rPr>
        <w:t xml:space="preserve"> </w:t>
      </w:r>
      <w:bookmarkStart w:id="20" w:name="_GoBack"/>
      <w:bookmarkEnd w:id="20"/>
    </w:p>
    <w:p w:rsidR="00701980" w:rsidRPr="00506D9C" w:rsidRDefault="00701980" w:rsidP="00701980">
      <w:pPr>
        <w:numPr>
          <w:ilvl w:val="0"/>
          <w:numId w:val="23"/>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será en las oficinas centrales de </w:t>
      </w:r>
      <w:r w:rsidRPr="00506D9C">
        <w:rPr>
          <w:rFonts w:ascii="Rubik" w:hAnsi="Rubik" w:cs="Rubik"/>
          <w:b/>
          <w:bCs/>
          <w:noProof/>
          <w:lang w:eastAsia="es-MX"/>
        </w:rPr>
        <w:t>“SEAPAL VALLARTA”</w:t>
      </w:r>
      <w:r w:rsidRPr="00506D9C">
        <w:rPr>
          <w:rFonts w:ascii="Rubik" w:hAnsi="Rubik" w:cs="Rubik"/>
          <w:noProof/>
          <w:lang w:eastAsia="es-MX"/>
        </w:rPr>
        <w:t>, ubicadas en Francisco Villa S/N esquina Manuel Avila Camacho Col. Lazaro Cardenas en Puerto Vallarta, Jalisco, en días hábiles de lunes a viernes de 8:00 a 15:00 horas.</w:t>
      </w:r>
    </w:p>
    <w:p w:rsidR="00701980" w:rsidRPr="00506D9C" w:rsidRDefault="00701980" w:rsidP="00701980">
      <w:pPr>
        <w:numPr>
          <w:ilvl w:val="0"/>
          <w:numId w:val="23"/>
        </w:numPr>
        <w:contextualSpacing/>
        <w:jc w:val="both"/>
        <w:rPr>
          <w:rFonts w:ascii="Rubik" w:hAnsi="Rubik" w:cs="Rubik"/>
          <w:noProof/>
          <w:lang w:eastAsia="es-MX"/>
        </w:rPr>
      </w:pPr>
      <w:r w:rsidRPr="00506D9C">
        <w:rPr>
          <w:rFonts w:ascii="Rubik" w:hAnsi="Rubik" w:cs="Rubik"/>
          <w:b/>
          <w:noProof/>
          <w:u w:val="single"/>
          <w:lang w:eastAsia="es-MX"/>
        </w:rPr>
        <w:t>“</w:t>
      </w:r>
      <w:r w:rsidRPr="00506D9C">
        <w:rPr>
          <w:rFonts w:ascii="Rubik" w:hAnsi="Rubik" w:cs="Rubik"/>
          <w:b/>
          <w:u w:val="single"/>
        </w:rPr>
        <w:t>FORMA DE PAGO</w:t>
      </w:r>
      <w:r w:rsidRPr="00506D9C">
        <w:rPr>
          <w:rFonts w:ascii="Rubik" w:hAnsi="Rubik" w:cs="Rubik"/>
          <w:b/>
          <w:noProof/>
          <w:u w:val="single"/>
          <w:lang w:eastAsia="es-MX"/>
        </w:rPr>
        <w:t>”.-</w:t>
      </w:r>
      <w:r w:rsidRPr="00506D9C">
        <w:rPr>
          <w:rFonts w:ascii="Rubik" w:hAnsi="Rubik" w:cs="Rubik"/>
          <w:b/>
          <w:noProof/>
          <w:lang w:eastAsia="es-MX"/>
        </w:rPr>
        <w:t xml:space="preserve"> </w:t>
      </w:r>
      <w:r>
        <w:rPr>
          <w:rFonts w:ascii="Rubik" w:hAnsi="Rubik" w:cs="Rubik"/>
          <w:noProof/>
          <w:lang w:eastAsia="es-MX"/>
        </w:rPr>
        <w:t xml:space="preserve"> El pago se realizará en dos  exhibicio</w:t>
      </w:r>
      <w:r w:rsidRPr="00506D9C">
        <w:rPr>
          <w:rFonts w:ascii="Rubik" w:hAnsi="Rubik" w:cs="Rubik"/>
          <w:noProof/>
          <w:lang w:eastAsia="es-MX"/>
        </w:rPr>
        <w:t>n</w:t>
      </w:r>
      <w:r>
        <w:rPr>
          <w:rFonts w:ascii="Rubik" w:hAnsi="Rubik" w:cs="Rubik"/>
          <w:noProof/>
          <w:lang w:eastAsia="es-MX"/>
        </w:rPr>
        <w:t>es</w:t>
      </w:r>
      <w:r w:rsidRPr="00506D9C">
        <w:rPr>
          <w:rFonts w:ascii="Rubik" w:hAnsi="Rubik" w:cs="Rubik"/>
          <w:noProof/>
          <w:lang w:eastAsia="es-MX"/>
        </w:rPr>
        <w:t xml:space="preserve">. </w:t>
      </w:r>
    </w:p>
    <w:p w:rsidR="00701980" w:rsidRPr="00506D9C" w:rsidRDefault="00701980" w:rsidP="00701980">
      <w:pPr>
        <w:numPr>
          <w:ilvl w:val="0"/>
          <w:numId w:val="23"/>
        </w:numPr>
        <w:contextualSpacing/>
        <w:jc w:val="both"/>
        <w:rPr>
          <w:rFonts w:ascii="Rubik" w:hAnsi="Rubik" w:cs="Rubik"/>
          <w:noProof/>
          <w:lang w:eastAsia="es-MX"/>
        </w:rPr>
      </w:pPr>
      <w:r w:rsidRPr="00506D9C">
        <w:rPr>
          <w:rFonts w:ascii="Rubik" w:hAnsi="Rubik" w:cs="Rubik"/>
          <w:b/>
          <w:u w:val="single"/>
        </w:rPr>
        <w:t>“FECHA DE ENTREGA</w:t>
      </w:r>
      <w:r w:rsidRPr="00506D9C">
        <w:rPr>
          <w:rFonts w:ascii="Rubik" w:hAnsi="Rubik" w:cs="Rubik"/>
          <w:b/>
          <w:noProof/>
          <w:lang w:eastAsia="es-MX"/>
        </w:rPr>
        <w:t>”.-</w:t>
      </w:r>
      <w:r w:rsidRPr="00506D9C">
        <w:rPr>
          <w:rFonts w:ascii="Rubik" w:hAnsi="Rubik" w:cs="Rubik"/>
          <w:noProof/>
          <w:lang w:val="es-ES" w:eastAsia="es-MX"/>
        </w:rPr>
        <w:t xml:space="preserve"> </w:t>
      </w:r>
      <w:r>
        <w:rPr>
          <w:rFonts w:ascii="Rubik" w:hAnsi="Rubik" w:cs="Rubik"/>
          <w:noProof/>
          <w:lang w:val="es-ES" w:eastAsia="es-MX"/>
        </w:rPr>
        <w:t xml:space="preserve">El aviso al IMSS, se tiene que dar a más tardar el  </w:t>
      </w:r>
      <w:r w:rsidR="00957AB6">
        <w:rPr>
          <w:rFonts w:ascii="Rubik" w:hAnsi="Rubik" w:cs="Rubik"/>
          <w:noProof/>
          <w:lang w:val="es-ES" w:eastAsia="es-MX"/>
        </w:rPr>
        <w:t>23</w:t>
      </w:r>
      <w:r>
        <w:rPr>
          <w:rFonts w:ascii="Rubik" w:hAnsi="Rubik" w:cs="Rubik"/>
          <w:noProof/>
          <w:lang w:val="es-ES" w:eastAsia="es-MX"/>
        </w:rPr>
        <w:t xml:space="preserve"> de abril de 202</w:t>
      </w:r>
      <w:r w:rsidR="00957AB6">
        <w:rPr>
          <w:rFonts w:ascii="Rubik" w:hAnsi="Rubik" w:cs="Rubik"/>
          <w:noProof/>
          <w:lang w:val="es-ES" w:eastAsia="es-MX"/>
        </w:rPr>
        <w:t>6</w:t>
      </w:r>
      <w:r>
        <w:rPr>
          <w:rFonts w:ascii="Rubik" w:hAnsi="Rubik" w:cs="Rubik"/>
          <w:noProof/>
          <w:lang w:val="es-ES" w:eastAsia="es-MX"/>
        </w:rPr>
        <w:t xml:space="preserve"> y el dictamen tendrá que presentarlo a más tardar el 2</w:t>
      </w:r>
      <w:r w:rsidR="00957AB6">
        <w:rPr>
          <w:rFonts w:ascii="Rubik" w:hAnsi="Rubik" w:cs="Rubik"/>
          <w:noProof/>
          <w:lang w:val="es-ES" w:eastAsia="es-MX"/>
        </w:rPr>
        <w:t>8 de agosto de 2026</w:t>
      </w:r>
      <w:r>
        <w:rPr>
          <w:rFonts w:ascii="Rubik" w:hAnsi="Rubik" w:cs="Rubik"/>
          <w:noProof/>
          <w:lang w:val="es-ES" w:eastAsia="es-MX"/>
        </w:rPr>
        <w:t>.</w:t>
      </w:r>
    </w:p>
    <w:p w:rsidR="00701980" w:rsidRPr="00506D9C" w:rsidRDefault="00701980" w:rsidP="00701980">
      <w:pPr>
        <w:numPr>
          <w:ilvl w:val="0"/>
          <w:numId w:val="23"/>
        </w:numPr>
        <w:contextualSpacing/>
        <w:jc w:val="both"/>
        <w:rPr>
          <w:rFonts w:ascii="Rubik" w:hAnsi="Rubik" w:cs="Rubik"/>
          <w:b/>
          <w:noProof/>
          <w:lang w:eastAsia="es-MX"/>
        </w:rPr>
      </w:pPr>
      <w:r w:rsidRPr="00506D9C">
        <w:rPr>
          <w:rFonts w:ascii="Rubik" w:hAnsi="Rubik" w:cs="Rubik"/>
          <w:b/>
          <w:noProof/>
          <w:u w:val="single"/>
          <w:lang w:eastAsia="es-MX"/>
        </w:rPr>
        <w:t xml:space="preserve"> “</w:t>
      </w:r>
      <w:bookmarkStart w:id="21" w:name="_Hlk8216684"/>
      <w:r w:rsidRPr="00506D9C">
        <w:rPr>
          <w:rFonts w:ascii="Rubik" w:hAnsi="Rubik" w:cs="Rubik"/>
          <w:b/>
          <w:noProof/>
          <w:u w:val="single"/>
          <w:lang w:eastAsia="es-MX"/>
        </w:rPr>
        <w:t>MODALIDAD DE CONTRATO</w:t>
      </w:r>
      <w:bookmarkEnd w:id="21"/>
      <w:r w:rsidRPr="00506D9C">
        <w:rPr>
          <w:rFonts w:ascii="Rubik" w:hAnsi="Rubik" w:cs="Rubik"/>
          <w:b/>
          <w:noProof/>
          <w:u w:val="single"/>
          <w:lang w:eastAsia="es-MX"/>
        </w:rPr>
        <w:t>”.-</w:t>
      </w:r>
      <w:r w:rsidRPr="00506D9C">
        <w:rPr>
          <w:rFonts w:ascii="Rubik" w:hAnsi="Rubik" w:cs="Rubik"/>
          <w:noProof/>
          <w:lang w:eastAsia="es-MX"/>
        </w:rPr>
        <w:t xml:space="preserve"> CERRADO.</w:t>
      </w:r>
    </w:p>
    <w:p w:rsidR="00701980" w:rsidRPr="00506D9C" w:rsidRDefault="00701980" w:rsidP="00701980">
      <w:pPr>
        <w:numPr>
          <w:ilvl w:val="0"/>
          <w:numId w:val="23"/>
        </w:numPr>
        <w:contextualSpacing/>
        <w:jc w:val="both"/>
        <w:rPr>
          <w:rFonts w:ascii="Rubik" w:hAnsi="Rubik" w:cs="Rubik"/>
          <w:b/>
          <w:noProof/>
          <w:lang w:eastAsia="es-MX"/>
        </w:rPr>
      </w:pPr>
      <w:r w:rsidRPr="00506D9C">
        <w:rPr>
          <w:rFonts w:ascii="Rubik" w:hAnsi="Rubik" w:cs="Rubik"/>
          <w:b/>
          <w:noProof/>
          <w:u w:val="single"/>
          <w:lang w:eastAsia="es-MX"/>
        </w:rPr>
        <w:lastRenderedPageBreak/>
        <w:t>“</w:t>
      </w:r>
      <w:bookmarkStart w:id="22" w:name="_Hlk8216699"/>
      <w:r w:rsidRPr="00506D9C">
        <w:rPr>
          <w:rFonts w:ascii="Rubik" w:hAnsi="Rubik" w:cs="Rubik"/>
          <w:b/>
          <w:noProof/>
          <w:u w:val="single"/>
          <w:lang w:eastAsia="es-MX"/>
        </w:rPr>
        <w:t>TIPO DE CONTRATO”</w:t>
      </w:r>
      <w:bookmarkEnd w:id="22"/>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SERVICIO.</w:t>
      </w:r>
    </w:p>
    <w:p w:rsidR="00F804E0" w:rsidRPr="00A251C8" w:rsidRDefault="00701980" w:rsidP="00701980">
      <w:pPr>
        <w:numPr>
          <w:ilvl w:val="0"/>
          <w:numId w:val="23"/>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Default="00F804E0" w:rsidP="00F804E0">
      <w:pPr>
        <w:ind w:left="360"/>
        <w:contextualSpacing/>
        <w:jc w:val="center"/>
        <w:rPr>
          <w:rFonts w:ascii="Rubik" w:hAnsi="Rubik" w:cs="Rubik"/>
          <w:i/>
        </w:rPr>
      </w:pPr>
    </w:p>
    <w:p w:rsidR="00F13606" w:rsidRDefault="00F13606" w:rsidP="00F804E0">
      <w:pPr>
        <w:ind w:left="360"/>
        <w:contextualSpacing/>
        <w:jc w:val="center"/>
        <w:rPr>
          <w:rFonts w:ascii="Rubik" w:hAnsi="Rubik" w:cs="Rubik"/>
          <w:i/>
        </w:rPr>
      </w:pPr>
    </w:p>
    <w:p w:rsidR="00F13606" w:rsidRPr="000F3D64" w:rsidRDefault="00F13606" w:rsidP="00F804E0">
      <w:pPr>
        <w:ind w:left="360"/>
        <w:contextualSpacing/>
        <w:jc w:val="center"/>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7D48" w:rsidP="008F1287">
            <w:pPr>
              <w:rPr>
                <w:rFonts w:ascii="Rubik" w:hAnsi="Rubik" w:cs="Rubik"/>
              </w:rPr>
            </w:pPr>
            <w:r>
              <w:rPr>
                <w:rFonts w:ascii="Rubik" w:hAnsi="Rubik" w:cs="Rubik"/>
                <w:noProof/>
                <w:lang w:eastAsia="es-MX"/>
              </w:rPr>
              <w:t xml:space="preserve"> 1</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8F1287" w:rsidP="008F1287">
            <w:pPr>
              <w:tabs>
                <w:tab w:val="left" w:pos="-284"/>
                <w:tab w:val="left" w:pos="9498"/>
              </w:tabs>
              <w:jc w:val="center"/>
              <w:rPr>
                <w:rFonts w:ascii="Rubik" w:hAnsi="Rubik" w:cs="Rubik"/>
              </w:rPr>
            </w:pPr>
            <w:r>
              <w:rPr>
                <w:rFonts w:ascii="Rubik" w:hAnsi="Rubik" w:cs="Rubik"/>
                <w:noProof/>
                <w:lang w:eastAsia="es-MX"/>
              </w:rPr>
              <w:t>03</w:t>
            </w:r>
            <w:r w:rsidR="00F804E0" w:rsidRPr="000F3D64">
              <w:rPr>
                <w:rFonts w:ascii="Rubik" w:hAnsi="Rubik" w:cs="Rubik"/>
                <w:noProof/>
                <w:lang w:eastAsia="es-MX"/>
              </w:rPr>
              <w:t xml:space="preserve"> de </w:t>
            </w:r>
            <w:r>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8F1287">
            <w:pPr>
              <w:tabs>
                <w:tab w:val="left" w:pos="-284"/>
                <w:tab w:val="left" w:pos="9498"/>
              </w:tabs>
              <w:jc w:val="center"/>
              <w:rPr>
                <w:rFonts w:ascii="Rubik" w:hAnsi="Rubik" w:cs="Rubik"/>
              </w:rPr>
            </w:pPr>
            <w:r w:rsidRPr="000F3D64">
              <w:rPr>
                <w:rFonts w:ascii="Rubik" w:hAnsi="Rubik" w:cs="Rubik"/>
              </w:rPr>
              <w:t>A las 1</w:t>
            </w:r>
            <w:r w:rsidR="008F1287">
              <w:rPr>
                <w:rFonts w:ascii="Rubik" w:hAnsi="Rubik" w:cs="Rubik"/>
              </w:rPr>
              <w:t>2</w:t>
            </w:r>
            <w:r w:rsidRPr="000F3D64">
              <w:rPr>
                <w:rFonts w:ascii="Rubik" w:hAnsi="Rubik" w:cs="Rubik"/>
              </w:rPr>
              <w:t>:</w:t>
            </w:r>
            <w:r w:rsidR="004D7D48">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804E0" w:rsidRPr="000F3D64" w:rsidTr="00F804E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8F1287" w:rsidP="008F1287">
            <w:pPr>
              <w:rPr>
                <w:rFonts w:ascii="Rubik" w:hAnsi="Rubik" w:cs="Rubik"/>
              </w:rPr>
            </w:pPr>
            <w:r>
              <w:rPr>
                <w:rFonts w:ascii="Rubik" w:hAnsi="Rubik" w:cs="Rubik"/>
                <w:noProof/>
                <w:lang w:eastAsia="es-MX"/>
              </w:rPr>
              <w:t>07</w:t>
            </w:r>
            <w:r w:rsidR="00F804E0" w:rsidRPr="000F3D64">
              <w:rPr>
                <w:rFonts w:ascii="Rubik" w:hAnsi="Rubik" w:cs="Rubik"/>
                <w:noProof/>
                <w:lang w:eastAsia="es-MX"/>
              </w:rPr>
              <w:t xml:space="preserve"> de </w:t>
            </w:r>
            <w:r>
              <w:rPr>
                <w:rFonts w:ascii="Rubik" w:hAnsi="Rubik" w:cs="Rubik"/>
                <w:noProof/>
                <w:lang w:eastAsia="es-MX"/>
              </w:rPr>
              <w:t>abril</w:t>
            </w:r>
            <w:r w:rsidR="004D7D48">
              <w:rPr>
                <w:rFonts w:ascii="Rubik" w:hAnsi="Rubik" w:cs="Rubik"/>
                <w:noProof/>
                <w:lang w:eastAsia="es-MX"/>
              </w:rPr>
              <w:t xml:space="preserve"> </w:t>
            </w:r>
            <w:r w:rsidR="00F804E0"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8F1287">
            <w:pPr>
              <w:tabs>
                <w:tab w:val="left" w:pos="-284"/>
                <w:tab w:val="left" w:pos="9498"/>
              </w:tabs>
              <w:jc w:val="center"/>
              <w:rPr>
                <w:rFonts w:ascii="Rubik" w:hAnsi="Rubik" w:cs="Rubik"/>
              </w:rPr>
            </w:pPr>
            <w:r w:rsidRPr="000F3D64">
              <w:rPr>
                <w:rFonts w:ascii="Rubik" w:hAnsi="Rubik" w:cs="Rubik"/>
                <w:noProof/>
                <w:lang w:eastAsia="es-MX"/>
              </w:rPr>
              <w:t>A las 1</w:t>
            </w:r>
            <w:r w:rsidR="008F1287">
              <w:rPr>
                <w:rFonts w:ascii="Rubik" w:hAnsi="Rubik" w:cs="Rubik"/>
                <w:noProof/>
                <w:lang w:eastAsia="es-MX"/>
              </w:rPr>
              <w:t>2</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8F1287" w:rsidP="008F1287">
            <w:pPr>
              <w:rPr>
                <w:rFonts w:ascii="Rubik" w:hAnsi="Rubik" w:cs="Rubik"/>
              </w:rPr>
            </w:pPr>
            <w:r>
              <w:rPr>
                <w:rFonts w:ascii="Rubik" w:hAnsi="Rubik" w:cs="Rubik"/>
                <w:noProof/>
                <w:lang w:eastAsia="es-MX"/>
              </w:rPr>
              <w:t>1</w:t>
            </w:r>
            <w:r w:rsidR="002A3E0B">
              <w:rPr>
                <w:rFonts w:ascii="Rubik" w:hAnsi="Rubik" w:cs="Rubik"/>
                <w:noProof/>
                <w:lang w:eastAsia="es-MX"/>
              </w:rPr>
              <w:t>4</w:t>
            </w:r>
            <w:r w:rsidR="00F804E0" w:rsidRPr="000F3D64">
              <w:rPr>
                <w:rFonts w:ascii="Rubik" w:hAnsi="Rubik" w:cs="Rubik"/>
                <w:noProof/>
                <w:lang w:eastAsia="es-MX"/>
              </w:rPr>
              <w:t xml:space="preserve"> de </w:t>
            </w:r>
            <w:r>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8F1287">
            <w:pPr>
              <w:tabs>
                <w:tab w:val="left" w:pos="-284"/>
                <w:tab w:val="left" w:pos="9498"/>
              </w:tabs>
              <w:jc w:val="center"/>
              <w:rPr>
                <w:rFonts w:ascii="Rubik" w:hAnsi="Rubik" w:cs="Rubik"/>
              </w:rPr>
            </w:pPr>
            <w:r>
              <w:rPr>
                <w:rFonts w:ascii="Rubik" w:hAnsi="Rubik" w:cs="Rubik"/>
                <w:noProof/>
                <w:lang w:eastAsia="es-MX"/>
              </w:rPr>
              <w:t>A las 1</w:t>
            </w:r>
            <w:r w:rsidR="008F1287">
              <w:rPr>
                <w:rFonts w:ascii="Rubik" w:hAnsi="Rubik" w:cs="Rubik"/>
                <w:noProof/>
                <w:lang w:eastAsia="es-MX"/>
              </w:rPr>
              <w:t>2</w:t>
            </w:r>
            <w:r>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8F1287" w:rsidP="008F1287">
            <w:pPr>
              <w:rPr>
                <w:rFonts w:ascii="Rubik" w:hAnsi="Rubik" w:cs="Rubik"/>
              </w:rPr>
            </w:pPr>
            <w:r>
              <w:rPr>
                <w:rFonts w:ascii="Rubik" w:hAnsi="Rubik" w:cs="Rubik"/>
                <w:noProof/>
                <w:lang w:eastAsia="es-MX"/>
              </w:rPr>
              <w:t>16</w:t>
            </w:r>
            <w:r w:rsidR="00F804E0" w:rsidRPr="000F3D64">
              <w:rPr>
                <w:rFonts w:ascii="Rubik" w:hAnsi="Rubik" w:cs="Rubik"/>
                <w:noProof/>
                <w:lang w:eastAsia="es-MX"/>
              </w:rPr>
              <w:t xml:space="preserve"> de </w:t>
            </w:r>
            <w:r>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8F1287">
            <w:pPr>
              <w:tabs>
                <w:tab w:val="left" w:pos="-284"/>
                <w:tab w:val="left" w:pos="9498"/>
              </w:tabs>
              <w:jc w:val="center"/>
              <w:rPr>
                <w:rFonts w:ascii="Rubik" w:hAnsi="Rubik" w:cs="Rubik"/>
              </w:rPr>
            </w:pPr>
            <w:r w:rsidRPr="000F3D64">
              <w:rPr>
                <w:rFonts w:ascii="Rubik" w:hAnsi="Rubik" w:cs="Rubik"/>
                <w:noProof/>
                <w:lang w:eastAsia="es-MX"/>
              </w:rPr>
              <w:t>A las 1</w:t>
            </w:r>
            <w:r w:rsidR="008F1287">
              <w:rPr>
                <w:rFonts w:ascii="Rubik" w:hAnsi="Rubik" w:cs="Rubik"/>
                <w:noProof/>
                <w:lang w:eastAsia="es-MX"/>
              </w:rPr>
              <w:t>2</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8F1287" w:rsidRPr="00506D9C" w:rsidRDefault="008F1287" w:rsidP="008F1287">
      <w:pPr>
        <w:jc w:val="center"/>
        <w:rPr>
          <w:rFonts w:ascii="Rubik" w:hAnsi="Rubik" w:cs="Rubik"/>
          <w:b/>
          <w:noProof/>
          <w:lang w:eastAsia="es-MX"/>
        </w:rPr>
      </w:pPr>
      <w:r w:rsidRPr="00506D9C">
        <w:rPr>
          <w:rFonts w:ascii="Rubik" w:hAnsi="Rubik" w:cs="Rubik"/>
          <w:b/>
          <w:noProof/>
          <w:lang w:eastAsia="es-MX"/>
        </w:rPr>
        <w:t>ANEXO 3</w:t>
      </w:r>
    </w:p>
    <w:p w:rsidR="008F1287" w:rsidRPr="00506D9C" w:rsidRDefault="008F1287" w:rsidP="008F1287">
      <w:pPr>
        <w:jc w:val="center"/>
        <w:rPr>
          <w:rFonts w:ascii="Rubik" w:hAnsi="Rubik" w:cs="Rubik"/>
          <w:b/>
          <w:noProof/>
          <w:lang w:eastAsia="es-MX"/>
        </w:rPr>
      </w:pPr>
      <w:r w:rsidRPr="00506D9C">
        <w:rPr>
          <w:rFonts w:ascii="Rubik" w:hAnsi="Rubik" w:cs="Rubik"/>
          <w:b/>
          <w:noProof/>
          <w:lang w:eastAsia="es-MX"/>
        </w:rPr>
        <w:t>“ESPECIFICACIONES DEL BIEN Y/O SERVICIO”</w:t>
      </w:r>
    </w:p>
    <w:p w:rsidR="008F1287" w:rsidRPr="00506D9C" w:rsidRDefault="008F1287" w:rsidP="008F1287">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8F1287" w:rsidRPr="00506D9C" w:rsidTr="00AA4242">
        <w:trPr>
          <w:trHeight w:val="358"/>
        </w:trPr>
        <w:tc>
          <w:tcPr>
            <w:tcW w:w="1194" w:type="dxa"/>
          </w:tcPr>
          <w:p w:rsidR="008F1287" w:rsidRPr="00506D9C" w:rsidRDefault="008F1287" w:rsidP="00AA4242">
            <w:pPr>
              <w:jc w:val="center"/>
              <w:rPr>
                <w:rFonts w:ascii="Rubik" w:hAnsi="Rubik" w:cs="Rubik"/>
                <w:i/>
              </w:rPr>
            </w:pPr>
            <w:r w:rsidRPr="00506D9C">
              <w:rPr>
                <w:rFonts w:ascii="Rubik" w:hAnsi="Rubik" w:cs="Rubik"/>
                <w:b/>
              </w:rPr>
              <w:t>PARTIDA</w:t>
            </w:r>
          </w:p>
        </w:tc>
        <w:tc>
          <w:tcPr>
            <w:tcW w:w="1365" w:type="dxa"/>
          </w:tcPr>
          <w:p w:rsidR="008F1287" w:rsidRPr="00506D9C" w:rsidRDefault="008F1287" w:rsidP="00AA4242">
            <w:pPr>
              <w:jc w:val="center"/>
              <w:rPr>
                <w:rFonts w:ascii="Rubik" w:hAnsi="Rubik" w:cs="Rubik"/>
                <w:i/>
              </w:rPr>
            </w:pPr>
            <w:r w:rsidRPr="00506D9C">
              <w:rPr>
                <w:rFonts w:ascii="Rubik" w:hAnsi="Rubik" w:cs="Rubik"/>
                <w:b/>
              </w:rPr>
              <w:t>CANTIDAD</w:t>
            </w:r>
          </w:p>
        </w:tc>
        <w:tc>
          <w:tcPr>
            <w:tcW w:w="2539" w:type="dxa"/>
          </w:tcPr>
          <w:p w:rsidR="008F1287" w:rsidRPr="00506D9C" w:rsidRDefault="008F1287" w:rsidP="00AA4242">
            <w:pPr>
              <w:jc w:val="center"/>
              <w:rPr>
                <w:rFonts w:ascii="Rubik" w:hAnsi="Rubik" w:cs="Rubik"/>
                <w:b/>
                <w:i/>
              </w:rPr>
            </w:pPr>
            <w:r w:rsidRPr="00506D9C">
              <w:rPr>
                <w:rFonts w:ascii="Rubik" w:hAnsi="Rubik" w:cs="Rubik"/>
                <w:b/>
              </w:rPr>
              <w:t>UNIDAD</w:t>
            </w:r>
          </w:p>
        </w:tc>
        <w:tc>
          <w:tcPr>
            <w:tcW w:w="4253" w:type="dxa"/>
          </w:tcPr>
          <w:p w:rsidR="008F1287" w:rsidRPr="00506D9C" w:rsidRDefault="008F1287" w:rsidP="00AA4242">
            <w:pPr>
              <w:jc w:val="center"/>
              <w:rPr>
                <w:rFonts w:ascii="Rubik" w:hAnsi="Rubik" w:cs="Rubik"/>
              </w:rPr>
            </w:pPr>
            <w:r w:rsidRPr="00506D9C">
              <w:rPr>
                <w:rFonts w:ascii="Rubik" w:hAnsi="Rubik" w:cs="Rubik"/>
                <w:b/>
              </w:rPr>
              <w:t xml:space="preserve">ESPECIFICACIONES </w:t>
            </w:r>
          </w:p>
        </w:tc>
      </w:tr>
      <w:tr w:rsidR="008F1287" w:rsidRPr="00506D9C" w:rsidTr="00AA4242">
        <w:trPr>
          <w:trHeight w:val="566"/>
        </w:trPr>
        <w:tc>
          <w:tcPr>
            <w:tcW w:w="1194" w:type="dxa"/>
            <w:vAlign w:val="center"/>
          </w:tcPr>
          <w:p w:rsidR="008F1287" w:rsidRPr="00506D9C" w:rsidRDefault="008F1287" w:rsidP="00AA4242">
            <w:pPr>
              <w:jc w:val="center"/>
              <w:rPr>
                <w:rFonts w:ascii="Rubik" w:hAnsi="Rubik" w:cs="Rubik"/>
              </w:rPr>
            </w:pPr>
            <w:r w:rsidRPr="00506D9C">
              <w:rPr>
                <w:rFonts w:ascii="Rubik" w:hAnsi="Rubik" w:cs="Rubi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AA4242">
            <w:pPr>
              <w:jc w:val="center"/>
              <w:rPr>
                <w:rFonts w:ascii="Rubik" w:hAnsi="Rubik" w:cs="Rubik"/>
                <w:color w:val="000000"/>
              </w:rPr>
            </w:pPr>
            <w:r w:rsidRPr="00506D9C">
              <w:rPr>
                <w:rFonts w:ascii="Rubik" w:hAnsi="Rubik" w:cs="Rubik"/>
                <w:color w:val="000000"/>
              </w:rPr>
              <w:t>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AA4242">
            <w:pPr>
              <w:jc w:val="center"/>
              <w:rPr>
                <w:rFonts w:ascii="Rubik" w:hAnsi="Rubik" w:cs="Rubik"/>
                <w:color w:val="000000"/>
              </w:rPr>
            </w:pPr>
            <w:r w:rsidRPr="00506D9C">
              <w:rPr>
                <w:rFonts w:ascii="Rubik" w:hAnsi="Rubik" w:cs="Rubik"/>
                <w:color w:val="000000"/>
              </w:rPr>
              <w:t>SERVICIO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8F1287">
            <w:pPr>
              <w:rPr>
                <w:rFonts w:ascii="Rubik" w:hAnsi="Rubik" w:cs="Rubik"/>
                <w:color w:val="000000"/>
              </w:rPr>
            </w:pPr>
            <w:r w:rsidRPr="00506D9C">
              <w:rPr>
                <w:rFonts w:ascii="Rubik" w:hAnsi="Rubik" w:cs="Rubik"/>
                <w:color w:val="000000"/>
              </w:rPr>
              <w:t>SERVICIO DE AUDITORIA Y ELABORACION DEL DICTAMEN DEL IMSS EJERCICIO 202</w:t>
            </w:r>
            <w:r>
              <w:rPr>
                <w:rFonts w:ascii="Rubik" w:hAnsi="Rubik" w:cs="Rubik"/>
                <w:color w:val="000000"/>
              </w:rPr>
              <w:t>5</w:t>
            </w:r>
          </w:p>
        </w:tc>
      </w:tr>
    </w:tbl>
    <w:p w:rsidR="008F1287" w:rsidRPr="00506D9C" w:rsidRDefault="008F1287" w:rsidP="008F1287">
      <w:pPr>
        <w:tabs>
          <w:tab w:val="left" w:pos="2827"/>
        </w:tabs>
        <w:rPr>
          <w:rFonts w:ascii="Rubik" w:hAnsi="Rubik" w:cs="Rubik"/>
          <w:b/>
          <w:lang w:val="es-ES"/>
        </w:rPr>
      </w:pPr>
    </w:p>
    <w:p w:rsidR="008F1287" w:rsidRPr="00506D9C" w:rsidRDefault="008F1287" w:rsidP="008F1287">
      <w:pPr>
        <w:tabs>
          <w:tab w:val="left" w:pos="2827"/>
        </w:tabs>
        <w:jc w:val="center"/>
        <w:rPr>
          <w:rFonts w:ascii="Rubik" w:hAnsi="Rubik" w:cs="Rubik"/>
          <w:b/>
          <w:lang w:val="es-ES"/>
        </w:rPr>
      </w:pPr>
    </w:p>
    <w:p w:rsidR="008F1287" w:rsidRPr="00506D9C" w:rsidRDefault="008F1287" w:rsidP="008F1287">
      <w:pPr>
        <w:tabs>
          <w:tab w:val="left" w:pos="2827"/>
        </w:tabs>
        <w:jc w:val="center"/>
        <w:rPr>
          <w:rFonts w:ascii="Rubik" w:hAnsi="Rubik" w:cs="Rubik"/>
          <w:b/>
          <w:lang w:val="es-ES"/>
        </w:rPr>
      </w:pPr>
      <w:r w:rsidRPr="00506D9C">
        <w:rPr>
          <w:rFonts w:ascii="Rubik" w:hAnsi="Rubik" w:cs="Rubik"/>
          <w:b/>
          <w:lang w:val="es-ES"/>
        </w:rPr>
        <w:t>ESPECIFICACIONES</w:t>
      </w:r>
    </w:p>
    <w:p w:rsidR="008F1287" w:rsidRPr="00506D9C" w:rsidRDefault="008F1287" w:rsidP="008F1287">
      <w:pPr>
        <w:tabs>
          <w:tab w:val="left" w:pos="2827"/>
        </w:tabs>
        <w:jc w:val="center"/>
        <w:rPr>
          <w:rFonts w:ascii="Rubik" w:hAnsi="Rubik" w:cs="Rubik"/>
          <w:b/>
          <w:lang w:val="es-ES"/>
        </w:rPr>
      </w:pPr>
    </w:p>
    <w:p w:rsidR="008F1287" w:rsidRPr="00506D9C" w:rsidRDefault="008F1287" w:rsidP="008F1287">
      <w:pPr>
        <w:ind w:right="-81"/>
        <w:jc w:val="both"/>
        <w:rPr>
          <w:rFonts w:ascii="Rubik" w:hAnsi="Rubik" w:cs="Rubik"/>
        </w:rPr>
      </w:pPr>
      <w:r w:rsidRPr="00506D9C">
        <w:rPr>
          <w:rFonts w:ascii="Rubik" w:hAnsi="Rubik" w:cs="Rubik"/>
        </w:rPr>
        <w:t>a).- Dictamen del cumplimiento de la Ley del Seguro Social y sus reglamentos en lo relativo al Registro Patronal SEAPAL VALLARTA, la afiliación de sus trabajadores, las modificaciones a sus salarios, bajas y pagos efectuados, así como la base para liquidar el pago de las cuotas obrero patronales correspondiente al ejercicio fiscal 202</w:t>
      </w:r>
      <w:r>
        <w:rPr>
          <w:rFonts w:ascii="Rubik" w:hAnsi="Rubik" w:cs="Rubik"/>
        </w:rPr>
        <w:t>5</w:t>
      </w:r>
      <w:r w:rsidRPr="00506D9C">
        <w:rPr>
          <w:rFonts w:ascii="Rubik" w:hAnsi="Rubik" w:cs="Rubik"/>
        </w:rPr>
        <w:t>.</w:t>
      </w:r>
    </w:p>
    <w:p w:rsidR="008F1287" w:rsidRPr="00506D9C" w:rsidRDefault="008F1287" w:rsidP="008F1287">
      <w:pPr>
        <w:ind w:right="-81"/>
        <w:jc w:val="both"/>
        <w:rPr>
          <w:rFonts w:ascii="Rubik" w:hAnsi="Rubik" w:cs="Rubik"/>
        </w:rPr>
      </w:pPr>
    </w:p>
    <w:p w:rsidR="008F1287" w:rsidRPr="00506D9C" w:rsidRDefault="008F1287" w:rsidP="008F1287">
      <w:pPr>
        <w:ind w:right="-81"/>
        <w:jc w:val="both"/>
        <w:rPr>
          <w:rFonts w:ascii="Rubik" w:hAnsi="Rubik" w:cs="Rubik"/>
        </w:rPr>
      </w:pPr>
      <w:r w:rsidRPr="00506D9C">
        <w:rPr>
          <w:rFonts w:ascii="Rubik" w:hAnsi="Rubik" w:cs="Rubik"/>
        </w:rPr>
        <w:t>b).- Informe conteniendo una breve descripción de las características de SEAPAL VALLARTA y específicas sobre las modalidades del Seguro Social que le sean aplicables.</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Salario integrado.</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Enfermedades y maternidad correctamente.</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Riesgo del trabajo.</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Conceptos que aplique al Sistema Único de Autodeterminación SUA.</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Análisis y confronta de percepciones y cotizaciones.</w:t>
      </w:r>
    </w:p>
    <w:p w:rsidR="008F1287" w:rsidRPr="00506D9C" w:rsidRDefault="008F1287" w:rsidP="008F1287">
      <w:pPr>
        <w:keepNext/>
        <w:numPr>
          <w:ilvl w:val="2"/>
          <w:numId w:val="42"/>
        </w:numPr>
        <w:suppressLineNumbers/>
        <w:tabs>
          <w:tab w:val="num" w:pos="902"/>
        </w:tabs>
        <w:suppressAutoHyphens/>
        <w:spacing w:before="120"/>
        <w:ind w:left="1134" w:right="-81" w:hanging="567"/>
        <w:jc w:val="both"/>
        <w:rPr>
          <w:rFonts w:ascii="Rubik" w:hAnsi="Rubik" w:cs="Rubik"/>
          <w:b/>
        </w:rPr>
      </w:pPr>
      <w:r w:rsidRPr="00506D9C">
        <w:rPr>
          <w:rFonts w:ascii="Rubik" w:hAnsi="Rubik" w:cs="Rubik"/>
        </w:rPr>
        <w:t>Realizar los avisos correspondientes a diferencias que se determinen de la auditoria previamente validadas con recursos humanos.</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 xml:space="preserve">Formulación de liquidaciones complementarias previa autorización del </w:t>
      </w:r>
      <w:r>
        <w:rPr>
          <w:rFonts w:ascii="Rubik" w:hAnsi="Rubik" w:cs="Rubik"/>
        </w:rPr>
        <w:t>Director Administrativo</w:t>
      </w:r>
      <w:r w:rsidRPr="00506D9C">
        <w:rPr>
          <w:rFonts w:ascii="Rubik" w:hAnsi="Rubik" w:cs="Rubik"/>
        </w:rPr>
        <w:t>.</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 xml:space="preserve">Atender todo tipo de aclaraciones posteriores al resultado de la </w:t>
      </w:r>
      <w:proofErr w:type="spellStart"/>
      <w:r w:rsidRPr="00506D9C">
        <w:rPr>
          <w:rFonts w:ascii="Rubik" w:hAnsi="Rubik" w:cs="Rubik"/>
        </w:rPr>
        <w:t>dictaminación</w:t>
      </w:r>
      <w:proofErr w:type="spellEnd"/>
      <w:r w:rsidRPr="00506D9C">
        <w:rPr>
          <w:rFonts w:ascii="Rubik" w:hAnsi="Rubik" w:cs="Rubik"/>
        </w:rPr>
        <w:t xml:space="preserve"> sin costo alguno para la convocante.</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 xml:space="preserve">Los anexos preparados por el Proveedor conteniendo el cuadro analítico de cuotas del Seguro Social pagadas por omisión determinadas en la revisión, así como las cédulas de cuotas obrero-patronales elaboradas y pagadas </w:t>
      </w:r>
      <w:r w:rsidRPr="00506D9C">
        <w:rPr>
          <w:rFonts w:ascii="Rubik" w:hAnsi="Rubik" w:cs="Rubik"/>
        </w:rPr>
        <w:lastRenderedPageBreak/>
        <w:t>(si las hay) y en su caso el informe de las omisiones no pagadas a la fecha de entrega del dictamen al IMSS.</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Presentar sugerencias y recomendaciones para la mejora continua.</w:t>
      </w:r>
    </w:p>
    <w:p w:rsidR="008F1287" w:rsidRPr="00506D9C" w:rsidRDefault="008F1287" w:rsidP="008F1287">
      <w:pPr>
        <w:tabs>
          <w:tab w:val="left" w:pos="2827"/>
        </w:tabs>
        <w:rPr>
          <w:rFonts w:ascii="Rubik" w:hAnsi="Rubik" w:cs="Rubik"/>
          <w:b/>
          <w:lang w:val="es-ES"/>
        </w:rPr>
      </w:pPr>
    </w:p>
    <w:p w:rsidR="008F1287" w:rsidRPr="00506D9C" w:rsidRDefault="008F1287" w:rsidP="008F1287">
      <w:pPr>
        <w:tabs>
          <w:tab w:val="left" w:pos="2827"/>
        </w:tabs>
        <w:rPr>
          <w:rFonts w:ascii="Rubik" w:hAnsi="Rubik" w:cs="Rubik"/>
          <w:b/>
          <w:lang w:val="es-ES"/>
        </w:rPr>
      </w:pPr>
    </w:p>
    <w:p w:rsidR="008F1287" w:rsidRPr="00506D9C" w:rsidRDefault="008F1287" w:rsidP="008F1287">
      <w:pPr>
        <w:widowControl w:val="0"/>
        <w:autoSpaceDE w:val="0"/>
        <w:autoSpaceDN w:val="0"/>
        <w:spacing w:before="119"/>
        <w:ind w:left="101"/>
        <w:jc w:val="both"/>
        <w:rPr>
          <w:rFonts w:ascii="Rubik" w:eastAsia="Arial MT" w:hAnsi="Rubik" w:cs="Rubik"/>
          <w:lang w:val="es-ES"/>
          <w14:ligatures w14:val="standardContextual"/>
        </w:rPr>
      </w:pPr>
      <w:r w:rsidRPr="00506D9C">
        <w:rPr>
          <w:rFonts w:ascii="Rubik" w:eastAsia="Arial MT" w:hAnsi="Rubik" w:cs="Rubik"/>
          <w:lang w:val="es-ES"/>
          <w14:ligatures w14:val="standardContextual"/>
        </w:rPr>
        <w:t>La información que deberá entregar el Proveedor respecto de los incisos anteriormente citados es parte integrante de los informes mínimos requeridos, por lo que las proposiciones que se presenten corresponderán a las especificaciones señaladas en las presentes bases.</w:t>
      </w:r>
    </w:p>
    <w:p w:rsidR="008F1287" w:rsidRPr="00506D9C" w:rsidRDefault="008F1287" w:rsidP="008F1287">
      <w:pPr>
        <w:rPr>
          <w:rFonts w:ascii="Rubik" w:hAnsi="Rubik" w:cs="Rubik"/>
        </w:rPr>
      </w:pPr>
    </w:p>
    <w:p w:rsidR="008F1287" w:rsidRPr="00506D9C" w:rsidRDefault="008F1287" w:rsidP="008F1287">
      <w:pPr>
        <w:rPr>
          <w:rFonts w:ascii="Rubik" w:hAnsi="Rubik" w:cs="Rubik"/>
        </w:rPr>
      </w:pPr>
    </w:p>
    <w:p w:rsidR="008F1287" w:rsidRPr="00470794" w:rsidRDefault="008F1287" w:rsidP="008F1287">
      <w:pPr>
        <w:spacing w:line="266" w:lineRule="exact"/>
        <w:ind w:right="-297"/>
        <w:jc w:val="both"/>
        <w:rPr>
          <w:rFonts w:ascii="Rubik" w:eastAsia="Times New Roman" w:hAnsi="Rubik" w:cs="Rubik"/>
          <w:lang w:eastAsia="es-ES"/>
        </w:rPr>
      </w:pPr>
      <w:r w:rsidRPr="00506D9C">
        <w:rPr>
          <w:rFonts w:ascii="Rubik" w:eastAsia="Times New Roman" w:hAnsi="Rubik" w:cs="Rubik"/>
          <w:lang w:eastAsia="es-ES"/>
        </w:rPr>
        <w:t>Todas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las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especificaciones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señaladas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en</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este</w:t>
      </w:r>
      <w:r w:rsidRPr="00506D9C">
        <w:rPr>
          <w:rFonts w:ascii="Rubik" w:eastAsia="Times New Roman" w:hAnsi="Rubik" w:cs="Rubik"/>
          <w:spacing w:val="-3"/>
          <w:lang w:eastAsia="es-ES"/>
        </w:rPr>
        <w:t xml:space="preserve"> </w:t>
      </w:r>
      <w:r w:rsidRPr="00506D9C">
        <w:rPr>
          <w:rFonts w:ascii="Rubik" w:eastAsia="Times New Roman" w:hAnsi="Rubik" w:cs="Rubik"/>
          <w:lang w:eastAsia="es-ES"/>
        </w:rPr>
        <w:t>anexo</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son</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mínimas,</w:t>
      </w:r>
      <w:r w:rsidRPr="00506D9C">
        <w:rPr>
          <w:rFonts w:ascii="Rubik" w:eastAsia="Times New Roman" w:hAnsi="Rubik" w:cs="Rubik"/>
          <w:spacing w:val="-3"/>
          <w:lang w:eastAsia="es-ES"/>
        </w:rPr>
        <w:t xml:space="preserve"> </w:t>
      </w:r>
      <w:r w:rsidRPr="00506D9C">
        <w:rPr>
          <w:rFonts w:ascii="Rubik" w:eastAsia="Times New Roman" w:hAnsi="Rubik" w:cs="Rubik"/>
          <w:lang w:eastAsia="es-ES"/>
        </w:rPr>
        <w:t>por</w:t>
      </w:r>
      <w:r w:rsidRPr="00506D9C">
        <w:rPr>
          <w:rFonts w:ascii="Rubik" w:eastAsia="Times New Roman" w:hAnsi="Rubik" w:cs="Rubik"/>
          <w:spacing w:val="-6"/>
          <w:lang w:eastAsia="es-ES"/>
        </w:rPr>
        <w:t xml:space="preserve"> </w:t>
      </w:r>
      <w:r w:rsidRPr="00506D9C">
        <w:rPr>
          <w:rFonts w:ascii="Rubik" w:eastAsia="Times New Roman" w:hAnsi="Rubik" w:cs="Rubik"/>
          <w:lang w:eastAsia="es-ES"/>
        </w:rPr>
        <w:t>lo</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que</w:t>
      </w:r>
      <w:r w:rsidRPr="00506D9C">
        <w:rPr>
          <w:rFonts w:ascii="Rubik" w:eastAsia="Times New Roman" w:hAnsi="Rubik" w:cs="Rubik"/>
          <w:spacing w:val="-6"/>
          <w:lang w:eastAsia="es-ES"/>
        </w:rPr>
        <w:t xml:space="preserve"> </w:t>
      </w:r>
      <w:r w:rsidRPr="00506D9C">
        <w:rPr>
          <w:rFonts w:ascii="Rubik" w:eastAsia="Times New Roman" w:hAnsi="Rubik" w:cs="Rubik"/>
          <w:lang w:eastAsia="es-ES"/>
        </w:rPr>
        <w:t>el</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“licitante”</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podrá</w:t>
      </w:r>
      <w:r w:rsidRPr="00506D9C">
        <w:rPr>
          <w:rFonts w:ascii="Rubik" w:eastAsia="Times New Roman" w:hAnsi="Rubik" w:cs="Rubik"/>
          <w:spacing w:val="-6"/>
          <w:lang w:eastAsia="es-ES"/>
        </w:rPr>
        <w:t xml:space="preserve"> </w:t>
      </w:r>
      <w:r w:rsidRPr="00506D9C">
        <w:rPr>
          <w:rFonts w:ascii="Rubik" w:eastAsia="Times New Roman" w:hAnsi="Rubik" w:cs="Rubik"/>
          <w:lang w:eastAsia="es-ES"/>
        </w:rPr>
        <w:t>ofertar</w:t>
      </w:r>
      <w:r>
        <w:rPr>
          <w:rFonts w:ascii="Rubik" w:eastAsia="Times New Roman" w:hAnsi="Rubik" w:cs="Rubik"/>
          <w:lang w:eastAsia="es-ES"/>
        </w:rPr>
        <w:t xml:space="preserve"> </w:t>
      </w:r>
      <w:r w:rsidRPr="00506D9C">
        <w:rPr>
          <w:rFonts w:ascii="Rubik" w:hAnsi="Rubik" w:cs="Rubik"/>
        </w:rPr>
        <w:t>Bienes</w:t>
      </w:r>
      <w:r w:rsidRPr="00506D9C">
        <w:rPr>
          <w:rFonts w:ascii="Rubik" w:hAnsi="Rubik" w:cs="Rubik"/>
          <w:spacing w:val="-5"/>
        </w:rPr>
        <w:t xml:space="preserve"> </w:t>
      </w:r>
      <w:r w:rsidRPr="00506D9C">
        <w:rPr>
          <w:rFonts w:ascii="Rubik" w:hAnsi="Rubik" w:cs="Rubik"/>
        </w:rPr>
        <w:t>y/o</w:t>
      </w:r>
      <w:r w:rsidRPr="00506D9C">
        <w:rPr>
          <w:rFonts w:ascii="Rubik" w:hAnsi="Rubik" w:cs="Rubik"/>
          <w:spacing w:val="-7"/>
        </w:rPr>
        <w:t xml:space="preserve"> </w:t>
      </w:r>
      <w:r w:rsidRPr="00506D9C">
        <w:rPr>
          <w:rFonts w:ascii="Rubik" w:hAnsi="Rubik" w:cs="Rubik"/>
        </w:rPr>
        <w:t>servicios</w:t>
      </w:r>
      <w:r w:rsidRPr="00506D9C">
        <w:rPr>
          <w:rFonts w:ascii="Rubik" w:hAnsi="Rubik" w:cs="Rubik"/>
          <w:spacing w:val="-6"/>
        </w:rPr>
        <w:t xml:space="preserve"> </w:t>
      </w:r>
      <w:r w:rsidRPr="00506D9C">
        <w:rPr>
          <w:rFonts w:ascii="Rubik" w:hAnsi="Rubik" w:cs="Rubik"/>
        </w:rPr>
        <w:t>con</w:t>
      </w:r>
      <w:r w:rsidRPr="00506D9C">
        <w:rPr>
          <w:rFonts w:ascii="Rubik" w:hAnsi="Rubik" w:cs="Rubik"/>
          <w:spacing w:val="-6"/>
        </w:rPr>
        <w:t xml:space="preserve"> </w:t>
      </w:r>
      <w:r w:rsidRPr="00506D9C">
        <w:rPr>
          <w:rFonts w:ascii="Rubik" w:hAnsi="Rubik" w:cs="Rubik"/>
        </w:rPr>
        <w:t>especificaciones</w:t>
      </w:r>
      <w:r w:rsidRPr="00506D9C">
        <w:rPr>
          <w:rFonts w:ascii="Rubik" w:hAnsi="Rubik" w:cs="Rubik"/>
          <w:spacing w:val="-6"/>
        </w:rPr>
        <w:t xml:space="preserve"> </w:t>
      </w:r>
      <w:r w:rsidRPr="00506D9C">
        <w:rPr>
          <w:rFonts w:ascii="Rubik" w:hAnsi="Rubik" w:cs="Rubik"/>
        </w:rPr>
        <w:t>y</w:t>
      </w:r>
      <w:r w:rsidRPr="00506D9C">
        <w:rPr>
          <w:rFonts w:ascii="Rubik" w:hAnsi="Rubik" w:cs="Rubik"/>
          <w:spacing w:val="-2"/>
        </w:rPr>
        <w:t xml:space="preserve"> </w:t>
      </w:r>
      <w:r w:rsidRPr="00506D9C">
        <w:rPr>
          <w:rFonts w:ascii="Rubik" w:hAnsi="Rubik" w:cs="Rubik"/>
        </w:rPr>
        <w:t>características</w:t>
      </w:r>
      <w:r w:rsidRPr="00506D9C">
        <w:rPr>
          <w:rFonts w:ascii="Rubik" w:hAnsi="Rubik" w:cs="Rubik"/>
          <w:spacing w:val="-6"/>
        </w:rPr>
        <w:t xml:space="preserve"> </w:t>
      </w:r>
      <w:r w:rsidRPr="00506D9C">
        <w:rPr>
          <w:rFonts w:ascii="Rubik" w:hAnsi="Rubik" w:cs="Rubik"/>
        </w:rPr>
        <w:t>superiores,</w:t>
      </w:r>
      <w:r w:rsidRPr="00506D9C">
        <w:rPr>
          <w:rFonts w:ascii="Rubik" w:hAnsi="Rubik" w:cs="Rubik"/>
          <w:spacing w:val="-5"/>
        </w:rPr>
        <w:t xml:space="preserve"> </w:t>
      </w:r>
      <w:r w:rsidRPr="00506D9C">
        <w:rPr>
          <w:rFonts w:ascii="Rubik" w:hAnsi="Rubik" w:cs="Rubik"/>
        </w:rPr>
        <w:t>si</w:t>
      </w:r>
      <w:r w:rsidRPr="00506D9C">
        <w:rPr>
          <w:rFonts w:ascii="Rubik" w:hAnsi="Rubik" w:cs="Rubik"/>
          <w:spacing w:val="-5"/>
        </w:rPr>
        <w:t xml:space="preserve"> </w:t>
      </w:r>
      <w:r w:rsidRPr="00506D9C">
        <w:rPr>
          <w:rFonts w:ascii="Rubik" w:hAnsi="Rubik" w:cs="Rubik"/>
        </w:rPr>
        <w:t>así</w:t>
      </w:r>
      <w:r w:rsidRPr="00506D9C">
        <w:rPr>
          <w:rFonts w:ascii="Rubik" w:hAnsi="Rubik" w:cs="Rubik"/>
          <w:spacing w:val="-6"/>
        </w:rPr>
        <w:t xml:space="preserve"> </w:t>
      </w:r>
      <w:r w:rsidRPr="00506D9C">
        <w:rPr>
          <w:rFonts w:ascii="Rubik" w:hAnsi="Rubik" w:cs="Rubik"/>
        </w:rPr>
        <w:t>lo</w:t>
      </w:r>
      <w:r w:rsidRPr="00506D9C">
        <w:rPr>
          <w:rFonts w:ascii="Rubik" w:hAnsi="Rubik" w:cs="Rubik"/>
          <w:spacing w:val="-6"/>
        </w:rPr>
        <w:t xml:space="preserve"> </w:t>
      </w:r>
      <w:r w:rsidRPr="00506D9C">
        <w:rPr>
          <w:rFonts w:ascii="Rubik" w:hAnsi="Rubik" w:cs="Rubik"/>
        </w:rPr>
        <w:t>consideran</w:t>
      </w:r>
      <w:r w:rsidRPr="00506D9C">
        <w:rPr>
          <w:rFonts w:ascii="Rubik" w:hAnsi="Rubik" w:cs="Rubik"/>
          <w:spacing w:val="-6"/>
        </w:rPr>
        <w:t xml:space="preserve"> </w:t>
      </w:r>
      <w:r w:rsidRPr="00506D9C">
        <w:rPr>
          <w:rFonts w:ascii="Rubik" w:hAnsi="Rubik" w:cs="Rubik"/>
        </w:rPr>
        <w:t>conveniente</w:t>
      </w:r>
      <w:r>
        <w:rPr>
          <w:rFonts w:ascii="Rubik" w:hAnsi="Rubik" w:cs="Rubik"/>
        </w:rPr>
        <w:t>.</w:t>
      </w:r>
    </w:p>
    <w:p w:rsidR="008F1287" w:rsidRPr="00506D9C" w:rsidRDefault="008F1287" w:rsidP="008F1287">
      <w:pPr>
        <w:tabs>
          <w:tab w:val="left" w:pos="2827"/>
        </w:tabs>
        <w:rPr>
          <w:rFonts w:ascii="Rubik" w:hAnsi="Rubik" w:cs="Rubik"/>
          <w:lang w:val="es-ES"/>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EB1C55" w:rsidRDefault="00EB1C55"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F804E0" w:rsidRPr="000F3D64" w:rsidRDefault="00F804E0" w:rsidP="00212632">
      <w:pPr>
        <w:jc w:val="center"/>
        <w:rPr>
          <w:rFonts w:ascii="Rubik" w:hAnsi="Rubik" w:cs="Rubik"/>
          <w:b/>
        </w:rPr>
      </w:pPr>
      <w:r w:rsidRPr="000F3D64">
        <w:rPr>
          <w:rFonts w:ascii="Rubik" w:hAnsi="Rubik" w:cs="Rubik"/>
          <w:b/>
        </w:rPr>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F804E0">
      <w:pPr>
        <w:numPr>
          <w:ilvl w:val="0"/>
          <w:numId w:val="17"/>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F804E0">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F804E0">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w:t>
      </w:r>
      <w:r w:rsidR="00E27CF5">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F804E0">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lastRenderedPageBreak/>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w:t>
      </w:r>
      <w:r w:rsidRPr="000F3D64">
        <w:rPr>
          <w:rFonts w:ascii="Rubik" w:eastAsia="Times New Roman" w:hAnsi="Rubik" w:cs="Rubik"/>
          <w:lang w:eastAsia="es-ES"/>
        </w:rPr>
        <w:lastRenderedPageBreak/>
        <w:t>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sidR="00613E10">
        <w:rPr>
          <w:rFonts w:ascii="Rubik" w:hAnsi="Rubik" w:cs="Rubik"/>
          <w:noProof/>
          <w:lang w:eastAsia="es-MX"/>
        </w:rPr>
        <w:t xml:space="preserve">MUNICIPAL </w:t>
      </w:r>
      <w:r w:rsidRPr="000F3D64">
        <w:rPr>
          <w:rFonts w:ascii="Rubik" w:hAnsi="Rubik" w:cs="Rubik"/>
          <w:noProof/>
          <w:lang w:eastAsia="es-MX"/>
        </w:rPr>
        <w:t>SIN CONCURRENCIA, SEAPAL Nº LP</w:t>
      </w:r>
      <w:r w:rsidR="00613E10">
        <w:rPr>
          <w:rFonts w:ascii="Rubik" w:hAnsi="Rubik" w:cs="Rubik"/>
          <w:noProof/>
          <w:lang w:eastAsia="es-MX"/>
        </w:rPr>
        <w:t>M</w:t>
      </w:r>
      <w:r w:rsidRPr="000F3D64">
        <w:rPr>
          <w:rFonts w:ascii="Rubik" w:hAnsi="Rubik" w:cs="Rubik"/>
          <w:noProof/>
          <w:lang w:eastAsia="es-MX"/>
        </w:rPr>
        <w:t>SC/</w:t>
      </w:r>
      <w:r w:rsidR="00A82CF4">
        <w:rPr>
          <w:rFonts w:ascii="Rubik" w:hAnsi="Rubik" w:cs="Rubik"/>
          <w:noProof/>
          <w:lang w:eastAsia="es-MX"/>
        </w:rPr>
        <w:t>1</w:t>
      </w:r>
      <w:r w:rsidR="00C04BF1">
        <w:rPr>
          <w:rFonts w:ascii="Rubik" w:hAnsi="Rubik" w:cs="Rubik"/>
          <w:noProof/>
          <w:lang w:eastAsia="es-MX"/>
        </w:rPr>
        <w:t>3</w:t>
      </w:r>
      <w:r w:rsidRPr="000F3D64">
        <w:rPr>
          <w:rFonts w:ascii="Rubik" w:hAnsi="Rubik" w:cs="Rubik"/>
          <w:noProof/>
          <w:lang w:eastAsia="es-MX"/>
        </w:rPr>
        <w:t>/2</w:t>
      </w:r>
      <w:r w:rsidR="00613E10">
        <w:rPr>
          <w:rFonts w:ascii="Rubik" w:hAnsi="Rubik" w:cs="Rubik"/>
          <w:noProof/>
          <w:lang w:eastAsia="es-MX"/>
        </w:rPr>
        <w:t>3</w:t>
      </w:r>
      <w:r w:rsidR="00C04BF1">
        <w:rPr>
          <w:rFonts w:ascii="Rubik" w:hAnsi="Rubik" w:cs="Rubik"/>
          <w:noProof/>
          <w:lang w:eastAsia="es-MX"/>
        </w:rPr>
        <w:t>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C04BF1"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C04BF1"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13</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 xml:space="preserve">6. Asimismo, expreso a usted que conocemos las disposiciones legales que rigen la adquisición de bienes o ejecución de los servicios por parte de ese Organismo Público </w:t>
      </w:r>
      <w:r w:rsidRPr="000F3D64">
        <w:rPr>
          <w:rFonts w:ascii="Rubik" w:eastAsia="SimSun" w:hAnsi="Rubik" w:cs="Rubik"/>
        </w:rPr>
        <w:lastRenderedPageBreak/>
        <w:t>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C04BF1"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13</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C04BF1" w:rsidP="00C04BF1">
      <w:pPr>
        <w:jc w:val="both"/>
        <w:rPr>
          <w:rFonts w:ascii="Rubik" w:hAnsi="Rubik" w:cs="Rubik"/>
          <w:noProof/>
          <w:lang w:eastAsia="es-MX"/>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13</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613E10" w:rsidRDefault="00613E10" w:rsidP="00F804E0">
      <w:pPr>
        <w:rPr>
          <w:rFonts w:ascii="Rubik" w:hAnsi="Rubik" w:cs="Rubik"/>
        </w:rPr>
      </w:pPr>
    </w:p>
    <w:p w:rsidR="00613E10" w:rsidRPr="000F3D64" w:rsidRDefault="00613E1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C04BF1" w:rsidRDefault="00C04BF1"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C04BF1"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13</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F804E0" w:rsidRPr="000F3D64" w:rsidRDefault="00F804E0" w:rsidP="00F804E0">
      <w:pPr>
        <w:rPr>
          <w:rFonts w:ascii="Rubik" w:hAnsi="Rubik" w:cs="Rubik"/>
        </w:rPr>
      </w:pPr>
    </w:p>
    <w:sectPr w:rsidR="00F804E0" w:rsidRPr="000F3D64"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D6" w:rsidRDefault="00D006D6">
      <w:r>
        <w:separator/>
      </w:r>
    </w:p>
  </w:endnote>
  <w:endnote w:type="continuationSeparator" w:id="0">
    <w:p w:rsidR="00D006D6" w:rsidRDefault="00D0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D6" w:rsidRDefault="00D006D6">
      <w:r>
        <w:separator/>
      </w:r>
    </w:p>
  </w:footnote>
  <w:footnote w:type="continuationSeparator" w:id="0">
    <w:p w:rsidR="00D006D6" w:rsidRDefault="00D0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42D" w:rsidRDefault="0081142D">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81142D" w:rsidRDefault="008114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2A3E0B"/>
    <w:rsid w:val="003B6D6D"/>
    <w:rsid w:val="00474631"/>
    <w:rsid w:val="0048573C"/>
    <w:rsid w:val="004D7D48"/>
    <w:rsid w:val="00590813"/>
    <w:rsid w:val="005B3B94"/>
    <w:rsid w:val="00613E10"/>
    <w:rsid w:val="00630C91"/>
    <w:rsid w:val="006324EE"/>
    <w:rsid w:val="00645057"/>
    <w:rsid w:val="00667670"/>
    <w:rsid w:val="006A11A2"/>
    <w:rsid w:val="00701980"/>
    <w:rsid w:val="00713A6F"/>
    <w:rsid w:val="007A14CE"/>
    <w:rsid w:val="007C0E1C"/>
    <w:rsid w:val="0081142D"/>
    <w:rsid w:val="00820BF3"/>
    <w:rsid w:val="00836723"/>
    <w:rsid w:val="0085458D"/>
    <w:rsid w:val="00857868"/>
    <w:rsid w:val="008F1287"/>
    <w:rsid w:val="00957AB6"/>
    <w:rsid w:val="00A82CF4"/>
    <w:rsid w:val="00C04BF1"/>
    <w:rsid w:val="00CF116A"/>
    <w:rsid w:val="00D006D6"/>
    <w:rsid w:val="00E046AE"/>
    <w:rsid w:val="00E27CF5"/>
    <w:rsid w:val="00E37C6C"/>
    <w:rsid w:val="00EB1C55"/>
    <w:rsid w:val="00F13606"/>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57</Pages>
  <Words>14887</Words>
  <Characters>81883</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dcterms:created xsi:type="dcterms:W3CDTF">2026-01-06T22:07:00Z</dcterms:created>
  <dcterms:modified xsi:type="dcterms:W3CDTF">2026-04-01T22:40:00Z</dcterms:modified>
</cp:coreProperties>
</file>